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723FCF" w:rsidRPr="00A877B5" w:rsidRDefault="00A877B5" w:rsidP="00123085">
      <w:pPr>
        <w:jc w:val="both"/>
        <w:rPr>
          <w:rStyle w:val="BLOCKBOLD"/>
          <w:rFonts w:ascii="Calibri" w:hAnsi="Calibri"/>
        </w:rPr>
      </w:pPr>
      <w:r w:rsidRPr="00A877B5">
        <w:rPr>
          <w:rStyle w:val="BLOCKBOLD"/>
          <w:rFonts w:ascii="Calibri" w:hAnsi="Calibri"/>
        </w:rPr>
        <w:t>Affidamento diretto su MEPA (ex art. 1 comma 2 lett. a) della</w:t>
      </w:r>
      <w:r w:rsidR="00A20111">
        <w:rPr>
          <w:rStyle w:val="BLOCKBOLD"/>
          <w:rFonts w:ascii="Calibri" w:hAnsi="Calibri"/>
        </w:rPr>
        <w:t xml:space="preserve"> legge 120/2020 ed ex art. 36, </w:t>
      </w:r>
      <w:r w:rsidR="004D2681">
        <w:rPr>
          <w:rStyle w:val="BLOCKBOLD"/>
          <w:rFonts w:ascii="Calibri" w:hAnsi="Calibri"/>
        </w:rPr>
        <w:t xml:space="preserve">comma 6 d.lgs. 50/2016) PER SOGEI PER LO </w:t>
      </w:r>
      <w:r w:rsidR="004D2681" w:rsidRPr="004D2681">
        <w:rPr>
          <w:rStyle w:val="BLOCKBOLD"/>
          <w:rFonts w:ascii="Calibri" w:hAnsi="Calibri"/>
        </w:rPr>
        <w:t>Sviluppo di un modello di classificazione per rilevazione fenomeno “evasione fiscale</w:t>
      </w:r>
      <w:r w:rsidR="004D2681">
        <w:rPr>
          <w:rStyle w:val="BLOCKBOLD"/>
          <w:rFonts w:ascii="Calibri" w:hAnsi="Calibri"/>
        </w:rPr>
        <w:t xml:space="preserve">”.              </w:t>
      </w:r>
    </w:p>
    <w:p w:rsidR="009B6E69" w:rsidRPr="00A877B5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877B5">
        <w:rPr>
          <w:rStyle w:val="BLOCKBOLD"/>
          <w:rFonts w:ascii="Calibri" w:hAnsi="Calibri"/>
        </w:rPr>
        <w:t>Dichiarazione aggiuntiva art. 80</w:t>
      </w:r>
      <w:r w:rsidR="009B6E69" w:rsidRPr="00A877B5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o accertate con sentenza passata in giudicato come di seguito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Pr="009659D0" w:rsidRDefault="00723FCF" w:rsidP="0048527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r w:rsidR="00A877B5" w:rsidRPr="00A877B5">
        <w:rPr>
          <w:rFonts w:eastAsia="Times New Roman" w:cstheme="minorHAnsi"/>
          <w:kern w:val="2"/>
          <w:sz w:val="20"/>
          <w:szCs w:val="20"/>
          <w:lang w:eastAsia="it-IT"/>
        </w:rPr>
        <w:t xml:space="preserve">“Fornitore abilitato al MePA – bando </w:t>
      </w:r>
      <w:r w:rsidR="0048527B" w:rsidRPr="0048527B">
        <w:rPr>
          <w:rFonts w:eastAsia="Times New Roman" w:cstheme="minorHAnsi"/>
          <w:kern w:val="2"/>
          <w:sz w:val="20"/>
          <w:szCs w:val="20"/>
          <w:lang w:eastAsia="it-IT"/>
        </w:rPr>
        <w:t>“Fornitore abilitato al MePA – bando “SERVIZI” – Cat</w:t>
      </w:r>
      <w:r w:rsidR="0048527B">
        <w:rPr>
          <w:rFonts w:eastAsia="Times New Roman" w:cstheme="minorHAnsi"/>
          <w:kern w:val="2"/>
          <w:sz w:val="20"/>
          <w:szCs w:val="20"/>
          <w:lang w:eastAsia="it-IT"/>
        </w:rPr>
        <w:t>egoria “SUPPORTO SPECIALISTICO”</w:t>
      </w:r>
      <w:bookmarkStart w:id="0" w:name="_GoBack"/>
      <w:bookmarkEnd w:id="0"/>
      <w:r w:rsidR="00A877B5">
        <w:rPr>
          <w:rFonts w:eastAsia="Times New Roman" w:cstheme="minorHAnsi"/>
          <w:kern w:val="2"/>
          <w:sz w:val="20"/>
          <w:szCs w:val="20"/>
          <w:lang w:eastAsia="it-IT"/>
        </w:rPr>
        <w:t>, indicato nella Determina a contrarre.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48527B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8527B"/>
    <w:rsid w:val="004B3640"/>
    <w:rsid w:val="004D121E"/>
    <w:rsid w:val="004D2681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0111"/>
    <w:rsid w:val="00A275B1"/>
    <w:rsid w:val="00A50908"/>
    <w:rsid w:val="00A70972"/>
    <w:rsid w:val="00A877B5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85B4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2020-10-16T08:22:00Z</dcterms:modified>
</cp:coreProperties>
</file>